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87" w:rsidRDefault="00DF2434" w:rsidP="00DF2434">
      <w:pPr>
        <w:rPr>
          <w:rFonts w:cs="Aharoni"/>
          <w:b/>
          <w:color w:val="00B0F0"/>
          <w:sz w:val="28"/>
          <w:szCs w:val="28"/>
        </w:rPr>
      </w:pPr>
      <w:r>
        <w:rPr>
          <w:noProof/>
          <w:sz w:val="24"/>
          <w:szCs w:val="24"/>
        </w:rPr>
        <mc:AlternateContent>
          <mc:Choice Requires="wps">
            <w:drawing>
              <wp:anchor distT="0" distB="0" distL="114300" distR="114300" simplePos="0" relativeHeight="251658239" behindDoc="0" locked="0" layoutInCell="1" allowOverlap="1" wp14:anchorId="07FFD639" wp14:editId="7CC9F057">
                <wp:simplePos x="0" y="0"/>
                <wp:positionH relativeFrom="column">
                  <wp:posOffset>4846320</wp:posOffset>
                </wp:positionH>
                <wp:positionV relativeFrom="paragraph">
                  <wp:posOffset>-112236</wp:posOffset>
                </wp:positionV>
                <wp:extent cx="1724025" cy="1183958"/>
                <wp:effectExtent l="19050" t="19050" r="47625" b="35560"/>
                <wp:wrapNone/>
                <wp:docPr id="3" name="6-Point Star 3"/>
                <wp:cNvGraphicFramePr/>
                <a:graphic xmlns:a="http://schemas.openxmlformats.org/drawingml/2006/main">
                  <a:graphicData uri="http://schemas.microsoft.com/office/word/2010/wordprocessingShape">
                    <wps:wsp>
                      <wps:cNvSpPr/>
                      <wps:spPr>
                        <a:xfrm>
                          <a:off x="0" y="0"/>
                          <a:ext cx="1724025" cy="1183958"/>
                        </a:xfrm>
                        <a:prstGeom prst="star6">
                          <a:avLst/>
                        </a:prstGeom>
                        <a:solidFill>
                          <a:srgbClr val="5B9BD5"/>
                        </a:solidFill>
                        <a:ln w="12700" cap="flat" cmpd="sng" algn="ctr">
                          <a:solidFill>
                            <a:srgbClr val="5B9BD5">
                              <a:shade val="50000"/>
                            </a:srgbClr>
                          </a:solidFill>
                          <a:prstDash val="solid"/>
                          <a:miter lim="800000"/>
                        </a:ln>
                        <a:effectLst/>
                      </wps:spPr>
                      <wps:txbx>
                        <w:txbxContent>
                          <w:p w:rsidR="007B0D1C" w:rsidRPr="00006C7A" w:rsidRDefault="00006C7A" w:rsidP="007B0D1C">
                            <w:pPr>
                              <w:jc w:val="center"/>
                              <w:rPr>
                                <w:b/>
                                <w:color w:val="FFFFFF" w:themeColor="background1"/>
                                <w:sz w:val="24"/>
                                <w:szCs w:val="24"/>
                              </w:rPr>
                            </w:pPr>
                            <w:r>
                              <w:rPr>
                                <w:b/>
                                <w:color w:val="FFFFFF" w:themeColor="background1"/>
                                <w:sz w:val="24"/>
                                <w:szCs w:val="24"/>
                              </w:rPr>
                              <w:t>REGISTER</w:t>
                            </w:r>
                          </w:p>
                          <w:p w:rsidR="000C481A" w:rsidRPr="00006C7A" w:rsidRDefault="000C481A" w:rsidP="007B0D1C">
                            <w:pPr>
                              <w:jc w:val="center"/>
                              <w:rPr>
                                <w:b/>
                                <w:color w:val="FFFFFF" w:themeColor="background1"/>
                                <w:sz w:val="24"/>
                                <w:szCs w:val="24"/>
                              </w:rPr>
                            </w:pPr>
                            <w:r w:rsidRPr="00006C7A">
                              <w:rPr>
                                <w:b/>
                                <w:color w:val="FFFFFF" w:themeColor="background1"/>
                                <w:sz w:val="24"/>
                                <w:szCs w:val="24"/>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3" o:spid="_x0000_s1026" style="position:absolute;margin-left:381.6pt;margin-top:-8.85pt;width:135.75pt;height:9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4025,11839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2eiQIAACIFAAAOAAAAZHJzL2Uyb0RvYy54bWysVEtv2zAMvg/YfxB0b22nSZsadYq0QYcB&#10;xRogHXpmZDkWoNckJXb360fJTl/raZgPMilSpPjxo66ueyXJgTsvjK5ocZpTwjUztdC7iv58vDuZ&#10;U+ID6Bqk0byiz9zT68XXL1edLfnEtEbW3BEMon3Z2Yq2IdgyyzxruQJ/aizXaGyMUxBQdbusdtBh&#10;dCWzSZ6fZ51xtXWGce9xdzUY6SLFbxrOwkPTeB6IrCjeLaTVpXUb12xxBeXOgW0FG68B/3ALBUJj&#10;0pdQKwhA9k78FUoJ5ow3TThlRmWmaQTjqQaspsg/VLNpwfJUC4Lj7QtM/v+FZT8Oa0dEXdEzSjQo&#10;bNH5ydoIHcgmgCNnEaHO+hIdN3btRs2jGMvtG6fiHwshfUL1+QVV3gfCcLO4mEzzyYwShraimJ9d&#10;zuYxavZ63DofvnGjSBQqioRx5wlOONz7MPgefWI6b6So74SUSXG77a105ADY49nN5c1qNoZ/5yY1&#10;6TD/5CJHHjBArjUSAorKYvVe7ygBuUMSs+BS7nen/SdJUvIWaj6mzvE7Zh7cU5Hv4sQqVuDb4Ugy&#10;xSNQKhFwEKRQFZ3HQMdIUkcrT1QesYjtGBoQpdBv+7ErW1M/YzedGWjuLbsTmO8efFiDQ15j5Tir&#10;4QGXRhqEw4wSJa1xvz/bj/5IN7RS0uGcIFS/9uA4JfK7RiJeFtNpHKykTGcXE1TcW8v2rUXv1a3B&#10;NhX4KliWxOgf5FFsnFFPONLLmBVNoBnmHpoyKrdhmF98FBhfLpMbDpOFcK83lsXgEbKI9GP/BM6O&#10;rApIyB/mOFNQfuDW4BtParPcB9OIRLwI8YArNjMqOIipreOjESf9rZ68Xp+2xR8AAAD//wMAUEsD&#10;BBQABgAIAAAAIQCaK9aA4gAAAAwBAAAPAAAAZHJzL2Rvd25yZXYueG1sTI9BTsMwEEX3SNzBGiQ2&#10;qHXSVk6UxqlaJFYIASkHcGM3iYjHUewmKadnuoLdH83Tnzf5brYdG83gW4cS4mUEzGDldIu1hK/j&#10;yyIF5oNCrTqHRsLVeNgV93e5yrSb8NOMZagZlaDPlIQmhD7j3FeNscovXW+Qdmc3WBVoHGquBzVR&#10;ue34KooEt6pFutCo3jw3pvouL1YC/lxF/Pp2mEr3/rRpP/ajOB64lI8P834LLJg5/MFw0yd1KMjp&#10;5C6oPeskJGK9IlTCIk4SYDciWm8onSiJNAVe5Pz/E8UvAAAA//8DAFBLAQItABQABgAIAAAAIQC2&#10;gziS/gAAAOEBAAATAAAAAAAAAAAAAAAAAAAAAABbQ29udGVudF9UeXBlc10ueG1sUEsBAi0AFAAG&#10;AAgAAAAhADj9If/WAAAAlAEAAAsAAAAAAAAAAAAAAAAALwEAAF9yZWxzLy5yZWxzUEsBAi0AFAAG&#10;AAgAAAAhAJjB7Z6JAgAAIgUAAA4AAAAAAAAAAAAAAAAALgIAAGRycy9lMm9Eb2MueG1sUEsBAi0A&#10;FAAGAAgAAAAhAJor1oDiAAAADAEAAA8AAAAAAAAAAAAAAAAA4wQAAGRycy9kb3ducmV2LnhtbFBL&#10;BQYAAAAABAAEAPMAAADyBQAAAAA=&#10;" adj="-11796480,,5400" path="m,295990r574670,-5l862013,r287342,295985l1724025,295990,1436697,591979r287328,295990l1149355,887973,862013,1183958,574670,887973,,887969,287328,591979,,295990xe" fillcolor="#5b9bd5" strokecolor="#41719c" strokeweight="1pt">
                <v:stroke joinstyle="miter"/>
                <v:formulas/>
                <v:path arrowok="t" o:connecttype="custom" o:connectlocs="0,295990;574670,295985;862013,0;1149355,295985;1724025,295990;1436697,591979;1724025,887969;1149355,887973;862013,1183958;574670,887973;0,887969;287328,591979;0,295990" o:connectangles="0,0,0,0,0,0,0,0,0,0,0,0,0" textboxrect="0,0,1724025,1183958"/>
                <v:textbox>
                  <w:txbxContent>
                    <w:p w:rsidR="007B0D1C" w:rsidRPr="00006C7A" w:rsidRDefault="00006C7A" w:rsidP="007B0D1C">
                      <w:pPr>
                        <w:jc w:val="center"/>
                        <w:rPr>
                          <w:b/>
                          <w:color w:val="FFFFFF" w:themeColor="background1"/>
                          <w:sz w:val="24"/>
                          <w:szCs w:val="24"/>
                        </w:rPr>
                      </w:pPr>
                      <w:r>
                        <w:rPr>
                          <w:b/>
                          <w:color w:val="FFFFFF" w:themeColor="background1"/>
                          <w:sz w:val="24"/>
                          <w:szCs w:val="24"/>
                        </w:rPr>
                        <w:t>REGISTER</w:t>
                      </w:r>
                    </w:p>
                    <w:p w:rsidR="000C481A" w:rsidRPr="00006C7A" w:rsidRDefault="000C481A" w:rsidP="007B0D1C">
                      <w:pPr>
                        <w:jc w:val="center"/>
                        <w:rPr>
                          <w:b/>
                          <w:color w:val="FFFFFF" w:themeColor="background1"/>
                          <w:sz w:val="24"/>
                          <w:szCs w:val="24"/>
                        </w:rPr>
                      </w:pPr>
                      <w:r w:rsidRPr="00006C7A">
                        <w:rPr>
                          <w:b/>
                          <w:color w:val="FFFFFF" w:themeColor="background1"/>
                          <w:sz w:val="24"/>
                          <w:szCs w:val="24"/>
                        </w:rPr>
                        <w:t>HERE</w:t>
                      </w:r>
                    </w:p>
                  </w:txbxContent>
                </v:textbox>
              </v:shape>
            </w:pict>
          </mc:Fallback>
        </mc:AlternateContent>
      </w:r>
      <w:r w:rsidR="00A73E87">
        <w:rPr>
          <w:rFonts w:cs="Aharoni"/>
          <w:b/>
          <w:noProof/>
          <w:color w:val="00B0F0"/>
          <w:sz w:val="28"/>
          <w:szCs w:val="28"/>
        </w:rPr>
        <w:drawing>
          <wp:inline distT="0" distB="0" distL="0" distR="0" wp14:anchorId="7FAFE34A" wp14:editId="19AF7EE1">
            <wp:extent cx="2228850" cy="913473"/>
            <wp:effectExtent l="0" t="0" r="0" b="0"/>
            <wp:docPr id="1" name="Picture 1" descr="F:\TAHQ\TAHQ-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AHQ\TAHQ-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913473"/>
                    </a:xfrm>
                    <a:prstGeom prst="rect">
                      <a:avLst/>
                    </a:prstGeom>
                    <a:noFill/>
                    <a:ln>
                      <a:noFill/>
                    </a:ln>
                  </pic:spPr>
                </pic:pic>
              </a:graphicData>
            </a:graphic>
          </wp:inline>
        </w:drawing>
      </w:r>
    </w:p>
    <w:p w:rsidR="000C481A" w:rsidRDefault="00A73D18" w:rsidP="00DF2434">
      <w:pPr>
        <w:rPr>
          <w:rFonts w:cs="Aharoni"/>
          <w:b/>
          <w:color w:val="00B0F0"/>
          <w:sz w:val="28"/>
          <w:szCs w:val="28"/>
        </w:rPr>
      </w:pPr>
      <w:r w:rsidRPr="00A73E87">
        <w:rPr>
          <w:rFonts w:cs="Aharoni"/>
          <w:b/>
          <w:color w:val="00B0F0"/>
          <w:sz w:val="28"/>
          <w:szCs w:val="28"/>
        </w:rPr>
        <w:t>2019 TAHQ Webcast Series – Free to TAHQ Members!!</w:t>
      </w:r>
      <w:r w:rsidR="000C481A">
        <w:rPr>
          <w:rFonts w:cs="Aharoni"/>
          <w:b/>
          <w:color w:val="00B0F0"/>
          <w:sz w:val="28"/>
          <w:szCs w:val="28"/>
        </w:rPr>
        <w:t xml:space="preserve">       </w:t>
      </w:r>
      <w:hyperlink r:id="rId8" w:history="1">
        <w:r w:rsidR="000C481A" w:rsidRPr="008007AA">
          <w:rPr>
            <w:rStyle w:val="Hyperlink"/>
            <w:rFonts w:cs="Aharoni"/>
            <w:b/>
            <w:sz w:val="28"/>
            <w:szCs w:val="28"/>
          </w:rPr>
          <w:t>http://www.cvent.com/d/8bqssy</w:t>
        </w:r>
      </w:hyperlink>
    </w:p>
    <w:p w:rsidR="00A73E87" w:rsidRPr="00A73E87" w:rsidRDefault="00A73E87" w:rsidP="00DF2434">
      <w:pPr>
        <w:rPr>
          <w:rFonts w:cs="Aharoni"/>
          <w:b/>
          <w:color w:val="00B0F0"/>
          <w:sz w:val="28"/>
          <w:szCs w:val="28"/>
        </w:rPr>
      </w:pPr>
      <w:r>
        <w:rPr>
          <w:rFonts w:cs="Aharoni"/>
          <w:b/>
          <w:color w:val="00B0F0"/>
          <w:sz w:val="28"/>
          <w:szCs w:val="28"/>
        </w:rPr>
        <w:t xml:space="preserve">Healthcare Quality </w:t>
      </w:r>
      <w:r w:rsidR="00625920">
        <w:rPr>
          <w:rFonts w:cs="Aharoni"/>
          <w:b/>
          <w:color w:val="00B0F0"/>
          <w:sz w:val="28"/>
          <w:szCs w:val="28"/>
        </w:rPr>
        <w:t xml:space="preserve">Professional </w:t>
      </w:r>
      <w:r>
        <w:rPr>
          <w:rFonts w:cs="Aharoni"/>
          <w:b/>
          <w:color w:val="00B0F0"/>
          <w:sz w:val="28"/>
          <w:szCs w:val="28"/>
        </w:rPr>
        <w:t>Series</w:t>
      </w:r>
    </w:p>
    <w:p w:rsidR="00A73E87" w:rsidRPr="00A73E87" w:rsidRDefault="007B0D1C" w:rsidP="007E463D">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3FD0F02" wp14:editId="3E357A05">
                <wp:simplePos x="0" y="0"/>
                <wp:positionH relativeFrom="column">
                  <wp:posOffset>361950</wp:posOffset>
                </wp:positionH>
                <wp:positionV relativeFrom="paragraph">
                  <wp:posOffset>420370</wp:posOffset>
                </wp:positionV>
                <wp:extent cx="1695450" cy="1009650"/>
                <wp:effectExtent l="19050" t="19050" r="38100" b="38100"/>
                <wp:wrapNone/>
                <wp:docPr id="2" name="6-Point Star 2"/>
                <wp:cNvGraphicFramePr/>
                <a:graphic xmlns:a="http://schemas.openxmlformats.org/drawingml/2006/main">
                  <a:graphicData uri="http://schemas.microsoft.com/office/word/2010/wordprocessingShape">
                    <wps:wsp>
                      <wps:cNvSpPr/>
                      <wps:spPr>
                        <a:xfrm>
                          <a:off x="0" y="0"/>
                          <a:ext cx="1695450" cy="100965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0D1C" w:rsidRPr="007B0D1C" w:rsidRDefault="007B0D1C" w:rsidP="007B0D1C">
                            <w:pPr>
                              <w:jc w:val="center"/>
                              <w:rPr>
                                <w:b/>
                                <w:sz w:val="24"/>
                                <w:szCs w:val="24"/>
                              </w:rPr>
                            </w:pPr>
                            <w:r w:rsidRPr="007B0D1C">
                              <w:rPr>
                                <w:b/>
                                <w:sz w:val="24"/>
                                <w:szCs w:val="24"/>
                              </w:rPr>
                              <w:t>SAVE THE DATE</w:t>
                            </w:r>
                            <w:r w:rsidR="00006C7A">
                              <w:rPr>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2" o:spid="_x0000_s1027" style="position:absolute;margin-left:28.5pt;margin-top:33.1pt;width:133.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0,1009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ggAIAAFAFAAAOAAAAZHJzL2Uyb0RvYy54bWysVMFu2zAMvQ/YPwi6t7aDJFuDOkXQosOA&#10;og2WDj0rslQbkEWNUhJnXz9KdtyiLXYY5oMsiuQT+Ujq8qprDdsr9A3YkhfnOWfKSqga+1zyn4+3&#10;Z18580HYShiwquRH5fnV8vOny4NbqAnUYCqFjECsXxxcyesQ3CLLvKxVK/w5OGVJqQFbEUjE56xC&#10;cSD01mSTPJ9nB8DKIUjlPZ3e9Eq+TPhaKxketPYqMFNyii2kFdO6jWu2vBSLZxSubuQQhviHKFrR&#10;WLp0hLoRQbAdNu+g2kYieNDhXEKbgdaNVCkHyqbI32SzqYVTKRcix7uRJv//YOX9fo2sqUo+4cyK&#10;lko0P1tDYwPbBIFsEhk6OL8gw41b4yB52sZ0O41t/FMirEusHkdWVReYpMNifjGbzoh8Sboizy/m&#10;JBBO9uLu0IdvCloWNyWnhsF5olPs73zobU825Bjj6SNIu3A0KgZh7A+lKRe6c5K8Uxepa4NsL6j+&#10;QkplQ9GralGp/niW0zcENHqk8BJgRNaNMSP2ABA79D12H+tgH11VasLROf9bYL3z6JFuBhtG57ax&#10;gB8BGMpquLm3P5HUUxNZCt22S3VOlvFkC9WRao/QD4V38rYh+u+ED2uBNAVUMprs8ECLNnAoOQw7&#10;zmrA3x+dR3tqTtJydqCpolr+2glUnJnvltr2ophO4xgmYTr7MiEBX2u2rzV2114DFa6gN8TJtI32&#10;wZy2GqF9ogdgFW8llbCS7i65DHgSrkM/7fSESLVaJTMaPSfCnd04GcEjz7G7HrsngW7owUDtew+n&#10;CRSLN53Y20ZPC6tdAN2kNn3hdagAjW1qpeGJie/CazlZvTyEyz8AAAD//wMAUEsDBBQABgAIAAAA&#10;IQANiMgY2wAAAAkBAAAPAAAAZHJzL2Rvd25yZXYueG1sTI/BTsMwEETvSPyDtUjcqFOXhirEqQCJ&#10;K1IKH+Am2zhyvI5itzV/z3KC4+7Mzr6p99lP4oJLHANpWK8KEEhd6EcaNHx9vj/sQMRkqDdTINTw&#10;jRH2ze1Nbao+XKnFyyENgkMoVkaDTWmupIydRW/iKsxIrJ3C4k3icRlkv5grh/tJqqIopTcj8Qdr&#10;Znyz2LnD2TOGW2eHu/bDbaw6uVfXtWOOWt/f5ZdnEAlz+jPDLz7fQMNMx3CmPopJw/aJqyQNZalA&#10;sL5Rj7w4alBqq0A2tfzfoPkBAAD//wMAUEsBAi0AFAAGAAgAAAAhALaDOJL+AAAA4QEAABMAAAAA&#10;AAAAAAAAAAAAAAAAAFtDb250ZW50X1R5cGVzXS54bWxQSwECLQAUAAYACAAAACEAOP0h/9YAAACU&#10;AQAACwAAAAAAAAAAAAAAAAAvAQAAX3JlbHMvLnJlbHNQSwECLQAUAAYACAAAACEADQ/oIIACAABQ&#10;BQAADgAAAAAAAAAAAAAAAAAuAgAAZHJzL2Uyb0RvYy54bWxQSwECLQAUAAYACAAAACEADYjIGNsA&#10;AAAJAQAADwAAAAAAAAAAAAAAAADaBAAAZHJzL2Rvd25yZXYueG1sUEsFBgAAAAAEAAQA8wAAAOIF&#10;AAAAAA==&#10;" adj="-11796480,,5400" path="m,252413r565145,-5l847725,r282580,252408l1695450,252413,1412884,504825r282566,252413l1130305,757242,847725,1009650,565145,757242,,757238,282566,504825,,252413xe" fillcolor="#5b9bd5 [3204]" strokecolor="#1f4d78 [1604]" strokeweight="1pt">
                <v:stroke joinstyle="miter"/>
                <v:formulas/>
                <v:path arrowok="t" o:connecttype="custom" o:connectlocs="0,252413;565145,252408;847725,0;1130305,252408;1695450,252413;1412884,504825;1695450,757238;1130305,757242;847725,1009650;565145,757242;0,757238;282566,504825;0,252413" o:connectangles="0,0,0,0,0,0,0,0,0,0,0,0,0" textboxrect="0,0,1695450,1009650"/>
                <v:textbox>
                  <w:txbxContent>
                    <w:p w:rsidR="007B0D1C" w:rsidRPr="007B0D1C" w:rsidRDefault="007B0D1C" w:rsidP="007B0D1C">
                      <w:pPr>
                        <w:jc w:val="center"/>
                        <w:rPr>
                          <w:b/>
                          <w:sz w:val="24"/>
                          <w:szCs w:val="24"/>
                        </w:rPr>
                      </w:pPr>
                      <w:r w:rsidRPr="007B0D1C">
                        <w:rPr>
                          <w:b/>
                          <w:sz w:val="24"/>
                          <w:szCs w:val="24"/>
                        </w:rPr>
                        <w:t>SAVE THE DATE</w:t>
                      </w:r>
                      <w:r w:rsidR="00006C7A">
                        <w:rPr>
                          <w:b/>
                          <w:sz w:val="24"/>
                          <w:szCs w:val="24"/>
                        </w:rPr>
                        <w:t>!</w:t>
                      </w:r>
                    </w:p>
                  </w:txbxContent>
                </v:textbox>
              </v:shape>
            </w:pict>
          </mc:Fallback>
        </mc:AlternateContent>
      </w:r>
      <w:r w:rsidR="007E463D" w:rsidRPr="00A73E87">
        <w:rPr>
          <w:sz w:val="24"/>
          <w:szCs w:val="24"/>
        </w:rPr>
        <w:t xml:space="preserve">TAHQ </w:t>
      </w:r>
      <w:r w:rsidR="00A73E87" w:rsidRPr="00A73E87">
        <w:rPr>
          <w:sz w:val="24"/>
          <w:szCs w:val="24"/>
        </w:rPr>
        <w:t xml:space="preserve">is excited to announce that beginning in </w:t>
      </w:r>
      <w:r w:rsidR="00A73E87">
        <w:rPr>
          <w:sz w:val="24"/>
          <w:szCs w:val="24"/>
        </w:rPr>
        <w:t xml:space="preserve">January of </w:t>
      </w:r>
      <w:r w:rsidR="00A73E87" w:rsidRPr="00A73E87">
        <w:rPr>
          <w:sz w:val="24"/>
          <w:szCs w:val="24"/>
        </w:rPr>
        <w:t xml:space="preserve">2019 we will be sponsoring </w:t>
      </w:r>
      <w:r w:rsidR="007E463D" w:rsidRPr="00A73E87">
        <w:rPr>
          <w:sz w:val="24"/>
          <w:szCs w:val="24"/>
        </w:rPr>
        <w:t>a</w:t>
      </w:r>
      <w:r w:rsidR="003738F4" w:rsidRPr="00A73E87">
        <w:rPr>
          <w:sz w:val="24"/>
          <w:szCs w:val="24"/>
        </w:rPr>
        <w:t xml:space="preserve"> </w:t>
      </w:r>
      <w:r w:rsidR="00A73D18" w:rsidRPr="00A73E87">
        <w:rPr>
          <w:sz w:val="24"/>
          <w:szCs w:val="24"/>
        </w:rPr>
        <w:t xml:space="preserve">series of </w:t>
      </w:r>
      <w:r w:rsidR="003738F4" w:rsidRPr="00A73E87">
        <w:rPr>
          <w:sz w:val="24"/>
          <w:szCs w:val="24"/>
        </w:rPr>
        <w:t>one hour</w:t>
      </w:r>
      <w:r w:rsidR="007E463D" w:rsidRPr="00A73E87">
        <w:rPr>
          <w:sz w:val="24"/>
          <w:szCs w:val="24"/>
        </w:rPr>
        <w:t xml:space="preserve"> </w:t>
      </w:r>
      <w:r w:rsidR="00A73E87" w:rsidRPr="00A73E87">
        <w:rPr>
          <w:sz w:val="24"/>
          <w:szCs w:val="24"/>
        </w:rPr>
        <w:t>we</w:t>
      </w:r>
      <w:r w:rsidR="007E463D" w:rsidRPr="00A73E87">
        <w:rPr>
          <w:sz w:val="24"/>
          <w:szCs w:val="24"/>
        </w:rPr>
        <w:t>bcast</w:t>
      </w:r>
      <w:r w:rsidR="00A73D18" w:rsidRPr="00A73E87">
        <w:rPr>
          <w:sz w:val="24"/>
          <w:szCs w:val="24"/>
        </w:rPr>
        <w:t>s</w:t>
      </w:r>
      <w:r w:rsidR="00A73E87" w:rsidRPr="00A73E87">
        <w:rPr>
          <w:sz w:val="24"/>
          <w:szCs w:val="24"/>
        </w:rPr>
        <w:t xml:space="preserve"> geared for healthcare quality professional</w:t>
      </w:r>
      <w:r w:rsidR="00A73E87">
        <w:rPr>
          <w:sz w:val="24"/>
          <w:szCs w:val="24"/>
        </w:rPr>
        <w:t>s</w:t>
      </w:r>
      <w:r w:rsidR="00A73E87" w:rsidRPr="00A73E87">
        <w:rPr>
          <w:sz w:val="24"/>
          <w:szCs w:val="24"/>
        </w:rPr>
        <w:t>.</w:t>
      </w:r>
      <w:r w:rsidR="00A73E87">
        <w:rPr>
          <w:sz w:val="24"/>
          <w:szCs w:val="24"/>
        </w:rPr>
        <w:t xml:space="preserve"> </w:t>
      </w:r>
      <w:r w:rsidR="00A73E87" w:rsidRPr="00A73E87">
        <w:rPr>
          <w:sz w:val="24"/>
          <w:szCs w:val="24"/>
        </w:rPr>
        <w:t xml:space="preserve"> </w:t>
      </w:r>
    </w:p>
    <w:p w:rsidR="00A73E87" w:rsidRPr="00DF2434" w:rsidRDefault="007B0D1C" w:rsidP="007B0D1C">
      <w:pPr>
        <w:jc w:val="center"/>
        <w:rPr>
          <w:b/>
          <w:sz w:val="24"/>
          <w:szCs w:val="24"/>
        </w:rPr>
      </w:pPr>
      <w:r w:rsidRPr="00DF2434">
        <w:rPr>
          <w:b/>
          <w:sz w:val="24"/>
          <w:szCs w:val="24"/>
        </w:rPr>
        <w:t>Third Wednesday of the M</w:t>
      </w:r>
      <w:r w:rsidR="007E463D" w:rsidRPr="00DF2434">
        <w:rPr>
          <w:b/>
          <w:sz w:val="24"/>
          <w:szCs w:val="24"/>
        </w:rPr>
        <w:t>onth</w:t>
      </w:r>
      <w:bookmarkStart w:id="0" w:name="_GoBack"/>
      <w:bookmarkEnd w:id="0"/>
    </w:p>
    <w:p w:rsidR="007B0D1C" w:rsidRPr="00DF2434" w:rsidRDefault="007B0D1C" w:rsidP="007B0D1C">
      <w:pPr>
        <w:jc w:val="center"/>
        <w:rPr>
          <w:b/>
          <w:sz w:val="24"/>
          <w:szCs w:val="24"/>
        </w:rPr>
      </w:pPr>
      <w:r w:rsidRPr="00DF2434">
        <w:rPr>
          <w:b/>
          <w:sz w:val="24"/>
          <w:szCs w:val="24"/>
        </w:rPr>
        <w:t>11:00a</w:t>
      </w:r>
      <w:r w:rsidR="00883AD3" w:rsidRPr="00DF2434">
        <w:rPr>
          <w:b/>
          <w:sz w:val="24"/>
          <w:szCs w:val="24"/>
        </w:rPr>
        <w:t>m</w:t>
      </w:r>
      <w:r w:rsidRPr="00DF2434">
        <w:rPr>
          <w:b/>
          <w:sz w:val="24"/>
          <w:szCs w:val="24"/>
        </w:rPr>
        <w:t xml:space="preserve"> – 12:00pm CST (12-1 EST)</w:t>
      </w:r>
      <w:r w:rsidRPr="00DF2434">
        <w:rPr>
          <w:b/>
          <w:noProof/>
          <w:sz w:val="24"/>
          <w:szCs w:val="24"/>
        </w:rPr>
        <w:t xml:space="preserve"> </w:t>
      </w:r>
    </w:p>
    <w:p w:rsidR="007B0D1C" w:rsidRPr="00DF2434" w:rsidRDefault="007B0D1C" w:rsidP="007B0D1C">
      <w:pPr>
        <w:jc w:val="center"/>
        <w:rPr>
          <w:b/>
          <w:sz w:val="24"/>
          <w:szCs w:val="24"/>
        </w:rPr>
      </w:pPr>
      <w:r w:rsidRPr="00DF2434">
        <w:rPr>
          <w:b/>
          <w:sz w:val="24"/>
          <w:szCs w:val="24"/>
        </w:rPr>
        <w:t>12 CEU</w:t>
      </w:r>
    </w:p>
    <w:p w:rsidR="007E463D" w:rsidRPr="007B0D1C" w:rsidRDefault="007E463D" w:rsidP="007E463D">
      <w:pPr>
        <w:rPr>
          <w:sz w:val="24"/>
          <w:szCs w:val="24"/>
        </w:rPr>
      </w:pPr>
      <w:r w:rsidRPr="007B0D1C">
        <w:rPr>
          <w:sz w:val="24"/>
          <w:szCs w:val="24"/>
        </w:rPr>
        <w:t>The series will be focused on the NAHQ Content Outline – the task statements developed triennially from an extensive survey of healthcare quality professionals across the continuum of care.  These statements summarize the areas of experience that healthcare quality professionals should be competent in.</w:t>
      </w:r>
    </w:p>
    <w:p w:rsidR="007E463D" w:rsidRPr="007B0D1C" w:rsidRDefault="007E463D" w:rsidP="007E463D">
      <w:pPr>
        <w:rPr>
          <w:sz w:val="24"/>
          <w:szCs w:val="24"/>
        </w:rPr>
      </w:pPr>
      <w:r w:rsidRPr="007B0D1C">
        <w:rPr>
          <w:sz w:val="24"/>
          <w:szCs w:val="24"/>
        </w:rPr>
        <w:t>The web series will be targeted to anyone interested in expanding their skills in healthcare quality including those preparing to sit for the CPHQ examination or those desiring to earn continuing education credits toward maintaining their CPHQ credential.</w:t>
      </w:r>
    </w:p>
    <w:p w:rsidR="00A73D18" w:rsidRPr="007B0D1C" w:rsidRDefault="007E463D" w:rsidP="007E463D">
      <w:pPr>
        <w:rPr>
          <w:sz w:val="24"/>
          <w:szCs w:val="24"/>
        </w:rPr>
      </w:pPr>
      <w:r w:rsidRPr="007B0D1C">
        <w:rPr>
          <w:sz w:val="24"/>
          <w:szCs w:val="24"/>
        </w:rPr>
        <w:t xml:space="preserve">The faculty for the web series will be CPHQ credentialed individuals or guests with expertise to address the topics.  </w:t>
      </w:r>
    </w:p>
    <w:p w:rsidR="00A73D18" w:rsidRPr="007B0D1C" w:rsidRDefault="007E463D" w:rsidP="00A73D18">
      <w:pPr>
        <w:rPr>
          <w:sz w:val="24"/>
          <w:szCs w:val="24"/>
        </w:rPr>
      </w:pPr>
      <w:r w:rsidRPr="007B0D1C">
        <w:rPr>
          <w:sz w:val="24"/>
          <w:szCs w:val="24"/>
        </w:rPr>
        <w:t>TAHQ members will be offered the series free of charge</w:t>
      </w:r>
      <w:r w:rsidR="00A73D18" w:rsidRPr="007B0D1C">
        <w:rPr>
          <w:sz w:val="24"/>
          <w:szCs w:val="24"/>
        </w:rPr>
        <w:t xml:space="preserve"> for their personal use!!</w:t>
      </w:r>
      <w:r w:rsidRPr="007B0D1C">
        <w:rPr>
          <w:sz w:val="24"/>
          <w:szCs w:val="24"/>
        </w:rPr>
        <w:t xml:space="preserve"> </w:t>
      </w:r>
      <w:r w:rsidR="00A73D18" w:rsidRPr="007B0D1C">
        <w:rPr>
          <w:sz w:val="24"/>
          <w:szCs w:val="24"/>
        </w:rPr>
        <w:t xml:space="preserve"> The webcasts will be recorded and available on the members’ only website.</w:t>
      </w:r>
    </w:p>
    <w:p w:rsidR="007B0D1C" w:rsidRDefault="00A73D18" w:rsidP="007B0D1C">
      <w:pPr>
        <w:rPr>
          <w:sz w:val="24"/>
          <w:szCs w:val="24"/>
        </w:rPr>
      </w:pPr>
      <w:r w:rsidRPr="007B0D1C">
        <w:rPr>
          <w:sz w:val="24"/>
          <w:szCs w:val="24"/>
        </w:rPr>
        <w:t>N</w:t>
      </w:r>
      <w:r w:rsidR="007E463D" w:rsidRPr="007B0D1C">
        <w:rPr>
          <w:sz w:val="24"/>
          <w:szCs w:val="24"/>
        </w:rPr>
        <w:t>on-members may purchase the series for a cost of $1</w:t>
      </w:r>
      <w:r w:rsidRPr="007B0D1C">
        <w:rPr>
          <w:sz w:val="24"/>
          <w:szCs w:val="24"/>
        </w:rPr>
        <w:t>5</w:t>
      </w:r>
      <w:r w:rsidR="007E463D" w:rsidRPr="007B0D1C">
        <w:rPr>
          <w:sz w:val="24"/>
          <w:szCs w:val="24"/>
        </w:rPr>
        <w:t xml:space="preserve">0 or $25 per webcast.  A purchased access may have additional attendees for no additional cost. </w:t>
      </w:r>
    </w:p>
    <w:p w:rsidR="007E463D" w:rsidRPr="007B0D1C" w:rsidRDefault="007E463D" w:rsidP="007B0D1C">
      <w:pPr>
        <w:spacing w:after="0" w:line="240" w:lineRule="auto"/>
        <w:rPr>
          <w:sz w:val="24"/>
          <w:szCs w:val="24"/>
        </w:rPr>
      </w:pPr>
      <w:r w:rsidRPr="007B0D1C">
        <w:rPr>
          <w:b/>
          <w:sz w:val="24"/>
          <w:szCs w:val="24"/>
        </w:rPr>
        <w:t>Proposed schedule</w:t>
      </w:r>
      <w:r w:rsidR="007B0D1C" w:rsidRPr="007B0D1C">
        <w:rPr>
          <w:b/>
          <w:sz w:val="24"/>
          <w:szCs w:val="24"/>
        </w:rPr>
        <w:t xml:space="preserve">: </w:t>
      </w:r>
      <w:r w:rsidR="00A73D18" w:rsidRPr="007B0D1C">
        <w:rPr>
          <w:b/>
          <w:sz w:val="24"/>
          <w:szCs w:val="24"/>
        </w:rPr>
        <w:t>may change as needed to accommodate speaker availability</w:t>
      </w:r>
      <w:r w:rsidRPr="007B0D1C">
        <w:rPr>
          <w:b/>
          <w:sz w:val="24"/>
          <w:szCs w:val="24"/>
        </w:rPr>
        <w:t>:</w:t>
      </w:r>
    </w:p>
    <w:tbl>
      <w:tblPr>
        <w:tblStyle w:val="TableGrid"/>
        <w:tblW w:w="0" w:type="auto"/>
        <w:tblLook w:val="04A0" w:firstRow="1" w:lastRow="0" w:firstColumn="1" w:lastColumn="0" w:noHBand="0" w:noVBand="1"/>
      </w:tblPr>
      <w:tblGrid>
        <w:gridCol w:w="2065"/>
        <w:gridCol w:w="4950"/>
      </w:tblGrid>
      <w:tr w:rsidR="00A73D18" w:rsidRPr="007B0D1C" w:rsidTr="00432591">
        <w:tc>
          <w:tcPr>
            <w:tcW w:w="2065" w:type="dxa"/>
            <w:shd w:val="clear" w:color="auto" w:fill="BDD6EE" w:themeFill="accent1" w:themeFillTint="66"/>
          </w:tcPr>
          <w:p w:rsidR="00A73D18" w:rsidRPr="007B0D1C" w:rsidRDefault="00A73D18" w:rsidP="007B0D1C">
            <w:pPr>
              <w:jc w:val="center"/>
              <w:rPr>
                <w:sz w:val="20"/>
                <w:szCs w:val="20"/>
              </w:rPr>
            </w:pPr>
            <w:r w:rsidRPr="007B0D1C">
              <w:rPr>
                <w:sz w:val="20"/>
                <w:szCs w:val="20"/>
              </w:rPr>
              <w:t>Date</w:t>
            </w:r>
          </w:p>
        </w:tc>
        <w:tc>
          <w:tcPr>
            <w:tcW w:w="4950" w:type="dxa"/>
            <w:shd w:val="clear" w:color="auto" w:fill="BDD6EE" w:themeFill="accent1" w:themeFillTint="66"/>
          </w:tcPr>
          <w:p w:rsidR="00A73D18" w:rsidRPr="007B0D1C" w:rsidRDefault="00A73D18" w:rsidP="007B0D1C">
            <w:pPr>
              <w:jc w:val="center"/>
              <w:rPr>
                <w:sz w:val="20"/>
                <w:szCs w:val="20"/>
              </w:rPr>
            </w:pPr>
            <w:r w:rsidRPr="007B0D1C">
              <w:rPr>
                <w:sz w:val="20"/>
                <w:szCs w:val="20"/>
              </w:rPr>
              <w:t>Topic</w:t>
            </w:r>
          </w:p>
        </w:tc>
      </w:tr>
      <w:tr w:rsidR="00A73D18" w:rsidRPr="007B0D1C" w:rsidTr="00432591">
        <w:tc>
          <w:tcPr>
            <w:tcW w:w="2065" w:type="dxa"/>
          </w:tcPr>
          <w:p w:rsidR="00A73D18" w:rsidRPr="007B0D1C" w:rsidRDefault="00A73D18" w:rsidP="007E463D">
            <w:pPr>
              <w:rPr>
                <w:sz w:val="20"/>
                <w:szCs w:val="20"/>
              </w:rPr>
            </w:pPr>
            <w:r w:rsidRPr="007B0D1C">
              <w:rPr>
                <w:sz w:val="20"/>
                <w:szCs w:val="20"/>
              </w:rPr>
              <w:t>January 16, 2019</w:t>
            </w:r>
          </w:p>
        </w:tc>
        <w:tc>
          <w:tcPr>
            <w:tcW w:w="4950" w:type="dxa"/>
          </w:tcPr>
          <w:p w:rsidR="00A73D18" w:rsidRPr="007B0D1C" w:rsidRDefault="00A73D18" w:rsidP="003738F4">
            <w:pPr>
              <w:rPr>
                <w:sz w:val="20"/>
                <w:szCs w:val="20"/>
              </w:rPr>
            </w:pPr>
            <w:r w:rsidRPr="007B0D1C">
              <w:rPr>
                <w:sz w:val="20"/>
                <w:szCs w:val="20"/>
              </w:rPr>
              <w:t xml:space="preserve">Engaging Leadership in Healthcare Quality </w:t>
            </w:r>
          </w:p>
        </w:tc>
      </w:tr>
      <w:tr w:rsidR="00A73D18" w:rsidRPr="007B0D1C" w:rsidTr="00432591">
        <w:tc>
          <w:tcPr>
            <w:tcW w:w="2065" w:type="dxa"/>
          </w:tcPr>
          <w:p w:rsidR="00A73D18" w:rsidRPr="007B0D1C" w:rsidRDefault="00A73D18" w:rsidP="007E463D">
            <w:pPr>
              <w:rPr>
                <w:sz w:val="20"/>
                <w:szCs w:val="20"/>
              </w:rPr>
            </w:pPr>
            <w:r w:rsidRPr="007B0D1C">
              <w:rPr>
                <w:sz w:val="20"/>
                <w:szCs w:val="20"/>
              </w:rPr>
              <w:t>February 20, 2019</w:t>
            </w:r>
          </w:p>
        </w:tc>
        <w:tc>
          <w:tcPr>
            <w:tcW w:w="4950" w:type="dxa"/>
          </w:tcPr>
          <w:p w:rsidR="00A73D18" w:rsidRPr="007B0D1C" w:rsidRDefault="00006C7A" w:rsidP="007E463D">
            <w:pPr>
              <w:rPr>
                <w:sz w:val="20"/>
                <w:szCs w:val="20"/>
              </w:rPr>
            </w:pPr>
            <w:r>
              <w:rPr>
                <w:noProof/>
              </w:rPr>
              <mc:AlternateContent>
                <mc:Choice Requires="wps">
                  <w:drawing>
                    <wp:anchor distT="0" distB="0" distL="114300" distR="114300" simplePos="0" relativeHeight="251663360" behindDoc="0" locked="0" layoutInCell="1" allowOverlap="1" wp14:anchorId="026726B6" wp14:editId="4A44CCC3">
                      <wp:simplePos x="0" y="0"/>
                      <wp:positionH relativeFrom="column">
                        <wp:posOffset>3251200</wp:posOffset>
                      </wp:positionH>
                      <wp:positionV relativeFrom="paragraph">
                        <wp:posOffset>16510</wp:posOffset>
                      </wp:positionV>
                      <wp:extent cx="2057400" cy="1943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43100"/>
                              </a:xfrm>
                              <a:prstGeom prst="rect">
                                <a:avLst/>
                              </a:prstGeom>
                              <a:solidFill>
                                <a:srgbClr val="FFFFFF"/>
                              </a:solidFill>
                              <a:ln w="9525">
                                <a:solidFill>
                                  <a:srgbClr val="000000"/>
                                </a:solidFill>
                                <a:miter lim="800000"/>
                                <a:headEnd/>
                                <a:tailEnd/>
                              </a:ln>
                            </wps:spPr>
                            <wps:txbx>
                              <w:txbxContent>
                                <w:p w:rsidR="007B0D1C" w:rsidRDefault="00943E7D" w:rsidP="007B0D1C">
                                  <w:pPr>
                                    <w:spacing w:after="0"/>
                                    <w:jc w:val="center"/>
                                    <w:rPr>
                                      <w:rStyle w:val="Hyperlink"/>
                                      <w:b/>
                                      <w:sz w:val="28"/>
                                      <w:szCs w:val="28"/>
                                    </w:rPr>
                                  </w:pPr>
                                  <w:hyperlink r:id="rId9" w:history="1">
                                    <w:r w:rsidR="007B0D1C" w:rsidRPr="00625920">
                                      <w:rPr>
                                        <w:rStyle w:val="Hyperlink"/>
                                        <w:b/>
                                        <w:sz w:val="28"/>
                                        <w:szCs w:val="28"/>
                                      </w:rPr>
                                      <w:t>www.TAHQ.org</w:t>
                                    </w:r>
                                  </w:hyperlink>
                                </w:p>
                                <w:p w:rsidR="00625920" w:rsidRDefault="00625920" w:rsidP="007B0D1C">
                                  <w:pPr>
                                    <w:spacing w:after="0"/>
                                    <w:jc w:val="center"/>
                                    <w:rPr>
                                      <w:rStyle w:val="Hyperlink"/>
                                      <w:b/>
                                      <w:sz w:val="28"/>
                                      <w:szCs w:val="28"/>
                                    </w:rPr>
                                  </w:pPr>
                                </w:p>
                                <w:p w:rsidR="00625920" w:rsidRDefault="00625920" w:rsidP="007B0D1C">
                                  <w:pPr>
                                    <w:spacing w:after="0"/>
                                    <w:jc w:val="center"/>
                                    <w:rPr>
                                      <w:rStyle w:val="Hyperlink"/>
                                      <w:b/>
                                      <w:sz w:val="28"/>
                                      <w:szCs w:val="28"/>
                                      <w:u w:val="none"/>
                                    </w:rPr>
                                  </w:pPr>
                                  <w:r w:rsidRPr="00006C7A">
                                    <w:rPr>
                                      <w:rStyle w:val="Hyperlink"/>
                                      <w:b/>
                                      <w:sz w:val="28"/>
                                      <w:szCs w:val="28"/>
                                      <w:u w:val="none"/>
                                    </w:rPr>
                                    <w:t>Become a TAHQ member for only $50</w:t>
                                  </w:r>
                                </w:p>
                                <w:p w:rsidR="00006C7A" w:rsidRPr="00006C7A" w:rsidRDefault="00006C7A" w:rsidP="007B0D1C">
                                  <w:pPr>
                                    <w:spacing w:after="0"/>
                                    <w:jc w:val="center"/>
                                    <w:rPr>
                                      <w:rStyle w:val="Hyperlink"/>
                                      <w:b/>
                                      <w:sz w:val="28"/>
                                      <w:szCs w:val="28"/>
                                      <w:u w:val="none"/>
                                    </w:rPr>
                                  </w:pPr>
                                  <w:r>
                                    <w:rPr>
                                      <w:rStyle w:val="Hyperlink"/>
                                      <w:b/>
                                      <w:sz w:val="28"/>
                                      <w:szCs w:val="28"/>
                                      <w:u w:val="none"/>
                                    </w:rPr>
                                    <w:t>&amp;</w:t>
                                  </w:r>
                                </w:p>
                                <w:p w:rsidR="00006C7A" w:rsidRPr="00006C7A" w:rsidRDefault="00006C7A" w:rsidP="00006C7A">
                                  <w:pPr>
                                    <w:spacing w:after="0"/>
                                    <w:jc w:val="center"/>
                                    <w:rPr>
                                      <w:sz w:val="24"/>
                                      <w:szCs w:val="24"/>
                                    </w:rPr>
                                  </w:pPr>
                                  <w:r>
                                    <w:rPr>
                                      <w:rStyle w:val="Hyperlink"/>
                                      <w:b/>
                                      <w:sz w:val="28"/>
                                      <w:szCs w:val="28"/>
                                      <w:u w:val="none"/>
                                    </w:rPr>
                                    <w:t>J</w:t>
                                  </w:r>
                                  <w:r w:rsidRPr="00006C7A">
                                    <w:rPr>
                                      <w:rStyle w:val="Hyperlink"/>
                                      <w:b/>
                                      <w:sz w:val="28"/>
                                      <w:szCs w:val="28"/>
                                      <w:u w:val="none"/>
                                    </w:rPr>
                                    <w:t>oin the webinar series for FREE!</w:t>
                                  </w:r>
                                </w:p>
                                <w:p w:rsidR="007B0D1C" w:rsidRDefault="007B0D1C" w:rsidP="007B0D1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6pt;margin-top:1.3pt;width:162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FGJwIAAE4EAAAOAAAAZHJzL2Uyb0RvYy54bWysVNuO2yAQfa/Uf0C8N3a8SbOx4qy22aaq&#10;tL1Iu/0AjHGMCgwFEjv9+h1wNk1vL1X9gBhmOMycM+PVzaAVOQjnJZiKTic5JcJwaKTZVfTL4/bV&#10;NSU+MNMwBUZU9Cg8vVm/fLHqbSkK6EA1whEEMb7sbUW7EGyZZZ53QjM/ASsMOltwmgU03S5rHOsR&#10;XausyPPXWQ+usQ648B5P70YnXSf8thU8fGpbLwJRFcXcQlpdWuu4ZusVK3eO2U7yUxrsH7LQTBp8&#10;9Ax1xwIjeyd/g9KSO/DQhgkHnUHbSi5SDVjNNP+lmoeOWZFqQXK8PdPk/x8s/3j47IhsKnqVLygx&#10;TKNIj2II5A0MpIj89NaXGPZgMTAMeIw6p1q9vQf+1RMDm46Znbh1DvpOsAbzm8ab2cXVEcdHkLr/&#10;AA0+w/YBEtDQOh3JQzoIoqNOx7M2MRWOh0U+X8xydHH0TZezqyka8Q1WPl+3zod3AjSJm4o6FD/B&#10;s8O9D2Poc0h8zYOSzVYqlQy3qzfKkQPDRtmm74T+U5gypK/ocl7MRwb+CpGn708QWgbseCV1Ra/P&#10;QayMvL01DabJysCkGvdYnTInIiN3I4thqIek2VmfGpojMutgbHAcSNx04L5T0mNzV9R/2zMnKFHv&#10;DaqznM5mcRqSMZsvCjTcpae+9DDDEaqigZJxuwlpgmKqBm5RxVYmfqPcYyanlLFpk0KnAYtTcWmn&#10;qB+/gfUTAAAA//8DAFBLAwQUAAYACAAAACEA95+siN8AAAAJAQAADwAAAGRycy9kb3ducmV2Lnht&#10;bEyPwU7DMBBE70j8g7VIXBB1moAJIU6FkEBwg7aCqxtvkwh7HWw3DX+POcFxNKOZN/VqtoZN6MPg&#10;SMJykQFDap0eqJOw3TxelsBCVKSVcYQSvjHAqjk9qVWl3ZHecFrHjqUSCpWS0Mc4VpyHtkerwsKN&#10;SMnbO29VTNJ3XHt1TOXW8DzLBLdqoLTQqxEfemw/1wcrobx6nj7CS/H63oq9uY0XN9PTl5fy/Gy+&#10;vwMWcY5/YfjFT+jQJKadO5AOzEi4XubpS5SQC2DJLwuR9E5CkZUCeFPz/w+aHwAAAP//AwBQSwEC&#10;LQAUAAYACAAAACEAtoM4kv4AAADhAQAAEwAAAAAAAAAAAAAAAAAAAAAAW0NvbnRlbnRfVHlwZXNd&#10;LnhtbFBLAQItABQABgAIAAAAIQA4/SH/1gAAAJQBAAALAAAAAAAAAAAAAAAAAC8BAABfcmVscy8u&#10;cmVsc1BLAQItABQABgAIAAAAIQD7uHFGJwIAAE4EAAAOAAAAAAAAAAAAAAAAAC4CAABkcnMvZTJv&#10;RG9jLnhtbFBLAQItABQABgAIAAAAIQD3n6yI3wAAAAkBAAAPAAAAAAAAAAAAAAAAAIEEAABkcnMv&#10;ZG93bnJldi54bWxQSwUGAAAAAAQABADzAAAAjQUAAAAA&#10;">
                      <v:textbox>
                        <w:txbxContent>
                          <w:p w:rsidR="007B0D1C" w:rsidRDefault="00275D07" w:rsidP="007B0D1C">
                            <w:pPr>
                              <w:spacing w:after="0"/>
                              <w:jc w:val="center"/>
                              <w:rPr>
                                <w:rStyle w:val="Hyperlink"/>
                                <w:b/>
                                <w:sz w:val="28"/>
                                <w:szCs w:val="28"/>
                              </w:rPr>
                            </w:pPr>
                            <w:hyperlink r:id="rId10" w:history="1">
                              <w:r w:rsidR="007B0D1C" w:rsidRPr="00625920">
                                <w:rPr>
                                  <w:rStyle w:val="Hyperlink"/>
                                  <w:b/>
                                  <w:sz w:val="28"/>
                                  <w:szCs w:val="28"/>
                                </w:rPr>
                                <w:t>www.TA</w:t>
                              </w:r>
                              <w:r w:rsidR="007B0D1C" w:rsidRPr="00625920">
                                <w:rPr>
                                  <w:rStyle w:val="Hyperlink"/>
                                  <w:b/>
                                  <w:sz w:val="28"/>
                                  <w:szCs w:val="28"/>
                                </w:rPr>
                                <w:t>H</w:t>
                              </w:r>
                              <w:r w:rsidR="007B0D1C" w:rsidRPr="00625920">
                                <w:rPr>
                                  <w:rStyle w:val="Hyperlink"/>
                                  <w:b/>
                                  <w:sz w:val="28"/>
                                  <w:szCs w:val="28"/>
                                </w:rPr>
                                <w:t>Q.org</w:t>
                              </w:r>
                            </w:hyperlink>
                          </w:p>
                          <w:p w:rsidR="00625920" w:rsidRDefault="00625920" w:rsidP="007B0D1C">
                            <w:pPr>
                              <w:spacing w:after="0"/>
                              <w:jc w:val="center"/>
                              <w:rPr>
                                <w:rStyle w:val="Hyperlink"/>
                                <w:b/>
                                <w:sz w:val="28"/>
                                <w:szCs w:val="28"/>
                              </w:rPr>
                            </w:pPr>
                          </w:p>
                          <w:p w:rsidR="00625920" w:rsidRDefault="00625920" w:rsidP="007B0D1C">
                            <w:pPr>
                              <w:spacing w:after="0"/>
                              <w:jc w:val="center"/>
                              <w:rPr>
                                <w:rStyle w:val="Hyperlink"/>
                                <w:b/>
                                <w:sz w:val="28"/>
                                <w:szCs w:val="28"/>
                                <w:u w:val="none"/>
                              </w:rPr>
                            </w:pPr>
                            <w:r w:rsidRPr="00006C7A">
                              <w:rPr>
                                <w:rStyle w:val="Hyperlink"/>
                                <w:b/>
                                <w:sz w:val="28"/>
                                <w:szCs w:val="28"/>
                                <w:u w:val="none"/>
                              </w:rPr>
                              <w:t>Become a TAHQ member for only $50</w:t>
                            </w:r>
                          </w:p>
                          <w:p w:rsidR="00006C7A" w:rsidRPr="00006C7A" w:rsidRDefault="00006C7A" w:rsidP="007B0D1C">
                            <w:pPr>
                              <w:spacing w:after="0"/>
                              <w:jc w:val="center"/>
                              <w:rPr>
                                <w:rStyle w:val="Hyperlink"/>
                                <w:b/>
                                <w:sz w:val="28"/>
                                <w:szCs w:val="28"/>
                                <w:u w:val="none"/>
                              </w:rPr>
                            </w:pPr>
                            <w:r>
                              <w:rPr>
                                <w:rStyle w:val="Hyperlink"/>
                                <w:b/>
                                <w:sz w:val="28"/>
                                <w:szCs w:val="28"/>
                                <w:u w:val="none"/>
                              </w:rPr>
                              <w:t>&amp;</w:t>
                            </w:r>
                          </w:p>
                          <w:p w:rsidR="00006C7A" w:rsidRPr="00006C7A" w:rsidRDefault="00006C7A" w:rsidP="00006C7A">
                            <w:pPr>
                              <w:spacing w:after="0"/>
                              <w:jc w:val="center"/>
                              <w:rPr>
                                <w:sz w:val="24"/>
                                <w:szCs w:val="24"/>
                              </w:rPr>
                            </w:pPr>
                            <w:r>
                              <w:rPr>
                                <w:rStyle w:val="Hyperlink"/>
                                <w:b/>
                                <w:sz w:val="28"/>
                                <w:szCs w:val="28"/>
                                <w:u w:val="none"/>
                              </w:rPr>
                              <w:t>J</w:t>
                            </w:r>
                            <w:r w:rsidRPr="00006C7A">
                              <w:rPr>
                                <w:rStyle w:val="Hyperlink"/>
                                <w:b/>
                                <w:sz w:val="28"/>
                                <w:szCs w:val="28"/>
                                <w:u w:val="none"/>
                              </w:rPr>
                              <w:t>oin the webinar series for FREE!</w:t>
                            </w:r>
                          </w:p>
                          <w:p w:rsidR="007B0D1C" w:rsidRDefault="007B0D1C" w:rsidP="007B0D1C">
                            <w:pPr>
                              <w:jc w:val="center"/>
                            </w:pPr>
                          </w:p>
                        </w:txbxContent>
                      </v:textbox>
                    </v:shape>
                  </w:pict>
                </mc:Fallback>
              </mc:AlternateContent>
            </w:r>
            <w:r w:rsidR="00A73D18" w:rsidRPr="007B0D1C">
              <w:rPr>
                <w:sz w:val="20"/>
                <w:szCs w:val="20"/>
              </w:rPr>
              <w:t>Population Health Management</w:t>
            </w:r>
          </w:p>
        </w:tc>
      </w:tr>
      <w:tr w:rsidR="00A73D18" w:rsidRPr="007B0D1C" w:rsidTr="00432591">
        <w:tc>
          <w:tcPr>
            <w:tcW w:w="2065" w:type="dxa"/>
          </w:tcPr>
          <w:p w:rsidR="00A73D18" w:rsidRPr="007B0D1C" w:rsidRDefault="00A73D18" w:rsidP="007E463D">
            <w:pPr>
              <w:rPr>
                <w:sz w:val="20"/>
                <w:szCs w:val="20"/>
              </w:rPr>
            </w:pPr>
            <w:r w:rsidRPr="007B0D1C">
              <w:rPr>
                <w:sz w:val="20"/>
                <w:szCs w:val="20"/>
              </w:rPr>
              <w:t>March 20, 2019</w:t>
            </w:r>
          </w:p>
        </w:tc>
        <w:tc>
          <w:tcPr>
            <w:tcW w:w="4950" w:type="dxa"/>
          </w:tcPr>
          <w:p w:rsidR="00A73D18" w:rsidRPr="007B0D1C" w:rsidRDefault="00A73D18" w:rsidP="007E463D">
            <w:pPr>
              <w:rPr>
                <w:sz w:val="20"/>
                <w:szCs w:val="20"/>
              </w:rPr>
            </w:pPr>
            <w:r w:rsidRPr="007B0D1C">
              <w:rPr>
                <w:sz w:val="20"/>
                <w:szCs w:val="20"/>
              </w:rPr>
              <w:t>Using Excel in Healthcare Quality</w:t>
            </w:r>
          </w:p>
        </w:tc>
      </w:tr>
      <w:tr w:rsidR="00A73D18" w:rsidRPr="007B0D1C" w:rsidTr="00432591">
        <w:tc>
          <w:tcPr>
            <w:tcW w:w="2065" w:type="dxa"/>
          </w:tcPr>
          <w:p w:rsidR="00A73D18" w:rsidRPr="007B0D1C" w:rsidRDefault="00A73D18" w:rsidP="007E463D">
            <w:pPr>
              <w:rPr>
                <w:sz w:val="20"/>
                <w:szCs w:val="20"/>
              </w:rPr>
            </w:pPr>
            <w:r w:rsidRPr="007B0D1C">
              <w:rPr>
                <w:sz w:val="20"/>
                <w:szCs w:val="20"/>
              </w:rPr>
              <w:t>April 17, 2019</w:t>
            </w:r>
          </w:p>
        </w:tc>
        <w:tc>
          <w:tcPr>
            <w:tcW w:w="4950" w:type="dxa"/>
          </w:tcPr>
          <w:p w:rsidR="00A73D18" w:rsidRPr="007B0D1C" w:rsidRDefault="00A73D18" w:rsidP="007E463D">
            <w:pPr>
              <w:rPr>
                <w:sz w:val="20"/>
                <w:szCs w:val="20"/>
              </w:rPr>
            </w:pPr>
            <w:r w:rsidRPr="007B0D1C">
              <w:rPr>
                <w:sz w:val="20"/>
                <w:szCs w:val="20"/>
              </w:rPr>
              <w:t>Developing a Data Plan to support Quality Activities</w:t>
            </w:r>
          </w:p>
        </w:tc>
      </w:tr>
      <w:tr w:rsidR="00A73D18" w:rsidRPr="007B0D1C" w:rsidTr="00432591">
        <w:tc>
          <w:tcPr>
            <w:tcW w:w="2065" w:type="dxa"/>
          </w:tcPr>
          <w:p w:rsidR="00A73D18" w:rsidRPr="007B0D1C" w:rsidRDefault="00A73D18" w:rsidP="007E463D">
            <w:pPr>
              <w:rPr>
                <w:sz w:val="20"/>
                <w:szCs w:val="20"/>
              </w:rPr>
            </w:pPr>
            <w:r w:rsidRPr="007B0D1C">
              <w:rPr>
                <w:sz w:val="20"/>
                <w:szCs w:val="20"/>
              </w:rPr>
              <w:t>May 15, 2019</w:t>
            </w:r>
          </w:p>
        </w:tc>
        <w:tc>
          <w:tcPr>
            <w:tcW w:w="4950" w:type="dxa"/>
          </w:tcPr>
          <w:p w:rsidR="00A73D18" w:rsidRPr="007B0D1C" w:rsidRDefault="00A73D18" w:rsidP="00432591">
            <w:pPr>
              <w:rPr>
                <w:sz w:val="20"/>
                <w:szCs w:val="20"/>
              </w:rPr>
            </w:pPr>
            <w:r w:rsidRPr="007B0D1C">
              <w:rPr>
                <w:sz w:val="20"/>
                <w:szCs w:val="20"/>
              </w:rPr>
              <w:t>Performance Improvement Methodology - PDSA vs Lean vs Six Sigma</w:t>
            </w:r>
          </w:p>
        </w:tc>
      </w:tr>
      <w:tr w:rsidR="00A73D18" w:rsidRPr="007B0D1C" w:rsidTr="00432591">
        <w:tc>
          <w:tcPr>
            <w:tcW w:w="2065" w:type="dxa"/>
          </w:tcPr>
          <w:p w:rsidR="00A73D18" w:rsidRPr="007B0D1C" w:rsidRDefault="00A73D18" w:rsidP="00432591">
            <w:pPr>
              <w:rPr>
                <w:sz w:val="20"/>
                <w:szCs w:val="20"/>
              </w:rPr>
            </w:pPr>
            <w:r w:rsidRPr="007B0D1C">
              <w:rPr>
                <w:sz w:val="20"/>
                <w:szCs w:val="20"/>
              </w:rPr>
              <w:t>June 19, 2019</w:t>
            </w:r>
          </w:p>
        </w:tc>
        <w:tc>
          <w:tcPr>
            <w:tcW w:w="4950" w:type="dxa"/>
          </w:tcPr>
          <w:p w:rsidR="00A73D18" w:rsidRPr="007B0D1C" w:rsidRDefault="00A73D18" w:rsidP="007E463D">
            <w:pPr>
              <w:rPr>
                <w:sz w:val="20"/>
                <w:szCs w:val="20"/>
              </w:rPr>
            </w:pPr>
            <w:r w:rsidRPr="007B0D1C">
              <w:rPr>
                <w:sz w:val="20"/>
                <w:szCs w:val="20"/>
              </w:rPr>
              <w:t>Change Management</w:t>
            </w:r>
          </w:p>
        </w:tc>
      </w:tr>
      <w:tr w:rsidR="00A73D18" w:rsidRPr="007B0D1C" w:rsidTr="00432591">
        <w:tc>
          <w:tcPr>
            <w:tcW w:w="2065" w:type="dxa"/>
          </w:tcPr>
          <w:p w:rsidR="00A73D18" w:rsidRPr="007B0D1C" w:rsidRDefault="00A73D18" w:rsidP="00432591">
            <w:pPr>
              <w:rPr>
                <w:sz w:val="20"/>
                <w:szCs w:val="20"/>
              </w:rPr>
            </w:pPr>
            <w:r w:rsidRPr="007B0D1C">
              <w:rPr>
                <w:sz w:val="20"/>
                <w:szCs w:val="20"/>
              </w:rPr>
              <w:t>July 17, 2019</w:t>
            </w:r>
          </w:p>
        </w:tc>
        <w:tc>
          <w:tcPr>
            <w:tcW w:w="4950" w:type="dxa"/>
          </w:tcPr>
          <w:p w:rsidR="00A73D18" w:rsidRPr="007B0D1C" w:rsidRDefault="00A73D18" w:rsidP="007E463D">
            <w:pPr>
              <w:rPr>
                <w:sz w:val="20"/>
                <w:szCs w:val="20"/>
              </w:rPr>
            </w:pPr>
            <w:r w:rsidRPr="007B0D1C">
              <w:rPr>
                <w:sz w:val="20"/>
                <w:szCs w:val="20"/>
              </w:rPr>
              <w:t>Disparate Data – What to do When Your Data is in Multiple Systems</w:t>
            </w:r>
          </w:p>
        </w:tc>
      </w:tr>
      <w:tr w:rsidR="00A73D18" w:rsidRPr="007B0D1C" w:rsidTr="00432591">
        <w:tc>
          <w:tcPr>
            <w:tcW w:w="2065" w:type="dxa"/>
          </w:tcPr>
          <w:p w:rsidR="00A73D18" w:rsidRPr="007B0D1C" w:rsidRDefault="00A73D18" w:rsidP="007E463D">
            <w:pPr>
              <w:rPr>
                <w:sz w:val="20"/>
                <w:szCs w:val="20"/>
              </w:rPr>
            </w:pPr>
            <w:r w:rsidRPr="007B0D1C">
              <w:rPr>
                <w:sz w:val="20"/>
                <w:szCs w:val="20"/>
              </w:rPr>
              <w:t>August 21, 2019</w:t>
            </w:r>
          </w:p>
        </w:tc>
        <w:tc>
          <w:tcPr>
            <w:tcW w:w="4950" w:type="dxa"/>
          </w:tcPr>
          <w:p w:rsidR="00A73D18" w:rsidRPr="007B0D1C" w:rsidRDefault="00A73D18" w:rsidP="003738F4">
            <w:pPr>
              <w:rPr>
                <w:sz w:val="20"/>
                <w:szCs w:val="20"/>
              </w:rPr>
            </w:pPr>
            <w:r w:rsidRPr="007B0D1C">
              <w:rPr>
                <w:sz w:val="20"/>
                <w:szCs w:val="20"/>
              </w:rPr>
              <w:t>Education, Training and Communication – Adult Learning Principles</w:t>
            </w:r>
          </w:p>
        </w:tc>
      </w:tr>
      <w:tr w:rsidR="00A73D18" w:rsidRPr="007B0D1C" w:rsidTr="00432591">
        <w:tc>
          <w:tcPr>
            <w:tcW w:w="2065" w:type="dxa"/>
          </w:tcPr>
          <w:p w:rsidR="00A73D18" w:rsidRPr="007B0D1C" w:rsidRDefault="00A73D18" w:rsidP="007E463D">
            <w:pPr>
              <w:rPr>
                <w:sz w:val="20"/>
                <w:szCs w:val="20"/>
              </w:rPr>
            </w:pPr>
            <w:r w:rsidRPr="007B0D1C">
              <w:rPr>
                <w:sz w:val="20"/>
                <w:szCs w:val="20"/>
              </w:rPr>
              <w:t>September 18, 2019</w:t>
            </w:r>
          </w:p>
        </w:tc>
        <w:tc>
          <w:tcPr>
            <w:tcW w:w="4950" w:type="dxa"/>
          </w:tcPr>
          <w:p w:rsidR="00A73D18" w:rsidRPr="007B0D1C" w:rsidRDefault="00A73D18" w:rsidP="007E463D">
            <w:pPr>
              <w:rPr>
                <w:sz w:val="20"/>
                <w:szCs w:val="20"/>
              </w:rPr>
            </w:pPr>
            <w:r w:rsidRPr="007B0D1C">
              <w:rPr>
                <w:sz w:val="20"/>
                <w:szCs w:val="20"/>
              </w:rPr>
              <w:t>Developing a Culture that Supports Quality and Safety</w:t>
            </w:r>
          </w:p>
        </w:tc>
      </w:tr>
      <w:tr w:rsidR="00A73D18" w:rsidRPr="007B0D1C" w:rsidTr="00432591">
        <w:tc>
          <w:tcPr>
            <w:tcW w:w="2065" w:type="dxa"/>
          </w:tcPr>
          <w:p w:rsidR="00A73D18" w:rsidRPr="007B0D1C" w:rsidRDefault="00A73D18" w:rsidP="007E463D">
            <w:pPr>
              <w:rPr>
                <w:sz w:val="20"/>
                <w:szCs w:val="20"/>
              </w:rPr>
            </w:pPr>
            <w:r w:rsidRPr="007B0D1C">
              <w:rPr>
                <w:sz w:val="20"/>
                <w:szCs w:val="20"/>
              </w:rPr>
              <w:t>October 16, 2019</w:t>
            </w:r>
          </w:p>
        </w:tc>
        <w:tc>
          <w:tcPr>
            <w:tcW w:w="4950" w:type="dxa"/>
          </w:tcPr>
          <w:p w:rsidR="00A73D18" w:rsidRPr="007B0D1C" w:rsidRDefault="00A73D18" w:rsidP="007E463D">
            <w:pPr>
              <w:rPr>
                <w:sz w:val="20"/>
                <w:szCs w:val="20"/>
              </w:rPr>
            </w:pPr>
            <w:r w:rsidRPr="007B0D1C">
              <w:rPr>
                <w:sz w:val="20"/>
                <w:szCs w:val="20"/>
              </w:rPr>
              <w:t>Root Cause Analysis and FMEA (Failure Mode and Effects Analysis)</w:t>
            </w:r>
          </w:p>
        </w:tc>
      </w:tr>
      <w:tr w:rsidR="00A73D18" w:rsidRPr="007B0D1C" w:rsidTr="00432591">
        <w:tc>
          <w:tcPr>
            <w:tcW w:w="2065" w:type="dxa"/>
          </w:tcPr>
          <w:p w:rsidR="00A73D18" w:rsidRPr="007B0D1C" w:rsidRDefault="00A73D18" w:rsidP="003374CF">
            <w:pPr>
              <w:rPr>
                <w:sz w:val="20"/>
                <w:szCs w:val="20"/>
              </w:rPr>
            </w:pPr>
            <w:r w:rsidRPr="007B0D1C">
              <w:rPr>
                <w:sz w:val="20"/>
                <w:szCs w:val="20"/>
              </w:rPr>
              <w:t>November 20, 2019</w:t>
            </w:r>
          </w:p>
        </w:tc>
        <w:tc>
          <w:tcPr>
            <w:tcW w:w="4950" w:type="dxa"/>
          </w:tcPr>
          <w:p w:rsidR="00A73D18" w:rsidRPr="007B0D1C" w:rsidRDefault="00A73D18" w:rsidP="003374CF">
            <w:pPr>
              <w:rPr>
                <w:sz w:val="20"/>
                <w:szCs w:val="20"/>
              </w:rPr>
            </w:pPr>
            <w:r w:rsidRPr="007B0D1C">
              <w:rPr>
                <w:sz w:val="20"/>
                <w:szCs w:val="20"/>
              </w:rPr>
              <w:t>Continual Readiness</w:t>
            </w:r>
          </w:p>
        </w:tc>
      </w:tr>
      <w:tr w:rsidR="00A73D18" w:rsidRPr="007B0D1C" w:rsidTr="00432591">
        <w:tc>
          <w:tcPr>
            <w:tcW w:w="2065" w:type="dxa"/>
          </w:tcPr>
          <w:p w:rsidR="00A73D18" w:rsidRPr="007B0D1C" w:rsidRDefault="00A73D18" w:rsidP="003374CF">
            <w:pPr>
              <w:rPr>
                <w:sz w:val="20"/>
                <w:szCs w:val="20"/>
              </w:rPr>
            </w:pPr>
            <w:r w:rsidRPr="007B0D1C">
              <w:rPr>
                <w:sz w:val="20"/>
                <w:szCs w:val="20"/>
              </w:rPr>
              <w:t>December 18, 2019</w:t>
            </w:r>
          </w:p>
        </w:tc>
        <w:tc>
          <w:tcPr>
            <w:tcW w:w="4950" w:type="dxa"/>
          </w:tcPr>
          <w:p w:rsidR="00A73D18" w:rsidRPr="007B0D1C" w:rsidRDefault="00A73D18" w:rsidP="003374CF">
            <w:pPr>
              <w:rPr>
                <w:sz w:val="20"/>
                <w:szCs w:val="20"/>
              </w:rPr>
            </w:pPr>
            <w:r w:rsidRPr="007B0D1C">
              <w:rPr>
                <w:sz w:val="20"/>
                <w:szCs w:val="20"/>
              </w:rPr>
              <w:t>Using Data to Prioritize Quality Activities</w:t>
            </w:r>
          </w:p>
        </w:tc>
      </w:tr>
    </w:tbl>
    <w:p w:rsidR="00A73D5C" w:rsidRDefault="00A73D5C" w:rsidP="007B0D1C"/>
    <w:sectPr w:rsidR="00A73D5C" w:rsidSect="00A73E87">
      <w:pgSz w:w="12240" w:h="15840"/>
      <w:pgMar w:top="720" w:right="720" w:bottom="720" w:left="720" w:header="720" w:footer="720" w:gutter="0"/>
      <w:pgBorders w:offsetFrom="page">
        <w:top w:val="single" w:sz="18" w:space="24" w:color="00B0F0" w:shadow="1"/>
        <w:left w:val="single" w:sz="18" w:space="24" w:color="00B0F0" w:shadow="1"/>
        <w:bottom w:val="single" w:sz="18" w:space="24" w:color="00B0F0" w:shadow="1"/>
        <w:right w:val="single" w:sz="18" w:space="24" w:color="00B0F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7D" w:rsidRDefault="00943E7D" w:rsidP="00A73D18">
      <w:pPr>
        <w:spacing w:after="0" w:line="240" w:lineRule="auto"/>
      </w:pPr>
      <w:r>
        <w:separator/>
      </w:r>
    </w:p>
  </w:endnote>
  <w:endnote w:type="continuationSeparator" w:id="0">
    <w:p w:rsidR="00943E7D" w:rsidRDefault="00943E7D" w:rsidP="00A7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7D" w:rsidRDefault="00943E7D" w:rsidP="00A73D18">
      <w:pPr>
        <w:spacing w:after="0" w:line="240" w:lineRule="auto"/>
      </w:pPr>
      <w:r>
        <w:separator/>
      </w:r>
    </w:p>
  </w:footnote>
  <w:footnote w:type="continuationSeparator" w:id="0">
    <w:p w:rsidR="00943E7D" w:rsidRDefault="00943E7D" w:rsidP="00A73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3D"/>
    <w:rsid w:val="00006C7A"/>
    <w:rsid w:val="000C481A"/>
    <w:rsid w:val="001B2720"/>
    <w:rsid w:val="00275D07"/>
    <w:rsid w:val="003374CF"/>
    <w:rsid w:val="003738F4"/>
    <w:rsid w:val="00432591"/>
    <w:rsid w:val="00567F87"/>
    <w:rsid w:val="00625920"/>
    <w:rsid w:val="006F4CAB"/>
    <w:rsid w:val="007317B2"/>
    <w:rsid w:val="007B0D1C"/>
    <w:rsid w:val="007E463D"/>
    <w:rsid w:val="00883AD3"/>
    <w:rsid w:val="00914DA7"/>
    <w:rsid w:val="00943E7D"/>
    <w:rsid w:val="00983345"/>
    <w:rsid w:val="00A73D18"/>
    <w:rsid w:val="00A73D5C"/>
    <w:rsid w:val="00A73E87"/>
    <w:rsid w:val="00A95080"/>
    <w:rsid w:val="00B25FA7"/>
    <w:rsid w:val="00C37204"/>
    <w:rsid w:val="00C6456A"/>
    <w:rsid w:val="00DF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D18"/>
  </w:style>
  <w:style w:type="paragraph" w:styleId="Footer">
    <w:name w:val="footer"/>
    <w:basedOn w:val="Normal"/>
    <w:link w:val="FooterChar"/>
    <w:uiPriority w:val="99"/>
    <w:unhideWhenUsed/>
    <w:rsid w:val="00A73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18"/>
  </w:style>
  <w:style w:type="character" w:styleId="Hyperlink">
    <w:name w:val="Hyperlink"/>
    <w:basedOn w:val="DefaultParagraphFont"/>
    <w:uiPriority w:val="99"/>
    <w:unhideWhenUsed/>
    <w:rsid w:val="00A73D18"/>
    <w:rPr>
      <w:color w:val="0563C1" w:themeColor="hyperlink"/>
      <w:u w:val="single"/>
    </w:rPr>
  </w:style>
  <w:style w:type="paragraph" w:styleId="BalloonText">
    <w:name w:val="Balloon Text"/>
    <w:basedOn w:val="Normal"/>
    <w:link w:val="BalloonTextChar"/>
    <w:uiPriority w:val="99"/>
    <w:semiHidden/>
    <w:unhideWhenUsed/>
    <w:rsid w:val="00A7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87"/>
    <w:rPr>
      <w:rFonts w:ascii="Tahoma" w:hAnsi="Tahoma" w:cs="Tahoma"/>
      <w:sz w:val="16"/>
      <w:szCs w:val="16"/>
    </w:rPr>
  </w:style>
  <w:style w:type="character" w:styleId="FollowedHyperlink">
    <w:name w:val="FollowedHyperlink"/>
    <w:basedOn w:val="DefaultParagraphFont"/>
    <w:uiPriority w:val="99"/>
    <w:semiHidden/>
    <w:unhideWhenUsed/>
    <w:rsid w:val="00DF24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D18"/>
  </w:style>
  <w:style w:type="paragraph" w:styleId="Footer">
    <w:name w:val="footer"/>
    <w:basedOn w:val="Normal"/>
    <w:link w:val="FooterChar"/>
    <w:uiPriority w:val="99"/>
    <w:unhideWhenUsed/>
    <w:rsid w:val="00A73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18"/>
  </w:style>
  <w:style w:type="character" w:styleId="Hyperlink">
    <w:name w:val="Hyperlink"/>
    <w:basedOn w:val="DefaultParagraphFont"/>
    <w:uiPriority w:val="99"/>
    <w:unhideWhenUsed/>
    <w:rsid w:val="00A73D18"/>
    <w:rPr>
      <w:color w:val="0563C1" w:themeColor="hyperlink"/>
      <w:u w:val="single"/>
    </w:rPr>
  </w:style>
  <w:style w:type="paragraph" w:styleId="BalloonText">
    <w:name w:val="Balloon Text"/>
    <w:basedOn w:val="Normal"/>
    <w:link w:val="BalloonTextChar"/>
    <w:uiPriority w:val="99"/>
    <w:semiHidden/>
    <w:unhideWhenUsed/>
    <w:rsid w:val="00A7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87"/>
    <w:rPr>
      <w:rFonts w:ascii="Tahoma" w:hAnsi="Tahoma" w:cs="Tahoma"/>
      <w:sz w:val="16"/>
      <w:szCs w:val="16"/>
    </w:rPr>
  </w:style>
  <w:style w:type="character" w:styleId="FollowedHyperlink">
    <w:name w:val="FollowedHyperlink"/>
    <w:basedOn w:val="DefaultParagraphFont"/>
    <w:uiPriority w:val="99"/>
    <w:semiHidden/>
    <w:unhideWhenUsed/>
    <w:rsid w:val="00DF2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nt.com/d/8bqss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AHQ.org" TargetMode="External"/><Relationship Id="rId4" Type="http://schemas.openxmlformats.org/officeDocument/2006/relationships/webSettings" Target="webSettings.xml"/><Relationship Id="rId9" Type="http://schemas.openxmlformats.org/officeDocument/2006/relationships/hyperlink" Target="http://www.T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Blue Cross Blue Shield of Tennessee</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Joyce</dc:creator>
  <cp:lastModifiedBy>Rebecca Foster</cp:lastModifiedBy>
  <cp:revision>2</cp:revision>
  <cp:lastPrinted>2018-11-14T12:53:00Z</cp:lastPrinted>
  <dcterms:created xsi:type="dcterms:W3CDTF">2018-11-16T01:07:00Z</dcterms:created>
  <dcterms:modified xsi:type="dcterms:W3CDTF">2018-11-16T01:07:00Z</dcterms:modified>
</cp:coreProperties>
</file>